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20 28 vom 6. Mai 2020</w:t>
      </w:r>
    </w:p>
    <w:p>
      <w:r>
        <w:t>VS Kantonsgericht, 2020-05-06, FR</w:t>
      </w:r>
    </w:p>
    <w:p>
      <w:r>
        <w:rPr>
          <w:b/>
        </w:rPr>
        <w:t xml:space="preserve">Quelle: </w:t>
      </w:r>
      <w:r>
        <w:t>https://mcp.opencaselaw.ch/entscheid/vs_gerichte_C2 20 28</w:t>
      </w:r>
    </w:p>
    <w:p>
      <w:r>
        <w:t>FR: VS_GERICHTE C2 20 28 du 6 mai 2020</w:t>
      </w:r>
    </w:p>
    <w:p>
      <w:r>
        <w:t>IT: VS_GERICHTE C2 20 28 del 6 maggio 2020</w:t>
      </w:r>
    </w:p>
    <w:p>
      <w:pPr>
        <w:pStyle w:val="Heading2"/>
      </w:pPr>
      <w:r>
        <w:t>Regeste</w:t>
      </w:r>
    </w:p>
    <w:p>
      <w:r>
        <w:t>DECCIV /14 C2 20 28 DECISION DU 6 MAI 2020 Le juge du district de l'Entremont Pierre Gapany, juge en la cause U _________, V _________, W _________ et X _________, requérants, représentés par M _________ contre Commune de A _________, Y _________, et Z _________, parties adverses (mesures provisionnelles et superprovisionnelles)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requête de mesures superprovisionnelles est sans objet.</w:t>
      </w:r>
    </w:p>
    <w:p>
      <w:r>
        <w:rPr>
          <w:b/>
        </w:rPr>
        <w:t>E. 3</w:t>
      </w:r>
    </w:p>
    <w:p>
      <w:r>
        <w:t>Les frais judiciaires (800 fr.) sont mis à la charge de U _________, V _________, W _________ et X _________, solidairement entre eux.</w:t>
      </w:r>
    </w:p>
    <w:p>
      <w:r>
        <w:rPr>
          <w:b/>
        </w:rPr>
        <w:t>E. 4</w:t>
      </w:r>
    </w:p>
    <w:p>
      <w:r>
        <w:t>Il n’est pas alloué de dépens. Sembrancher, le 6 mai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